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Cs/>
          <w:color w:val="000000"/>
          <w:sz w:val="20"/>
          <w:szCs w:val="20"/>
          <w:lang w:eastAsia="sr-Latn-CS"/>
        </w:rPr>
        <w:t>MI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Cs/>
          <w:color w:val="000000"/>
          <w:sz w:val="20"/>
          <w:szCs w:val="20"/>
          <w:lang w:eastAsia="sr-Latn-CS"/>
        </w:rPr>
        <w:t>ALEKSANDAR I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Cs/>
          <w:color w:val="000000"/>
          <w:sz w:val="20"/>
          <w:szCs w:val="20"/>
          <w:lang w:eastAsia="sr-Latn-CS"/>
        </w:rPr>
        <w:t>po milosti Božjoj i volji Narodnoj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Cs/>
          <w:color w:val="000000"/>
          <w:sz w:val="20"/>
          <w:szCs w:val="20"/>
          <w:lang w:eastAsia="sr-Latn-CS"/>
        </w:rPr>
        <w:t>Kralj Jugoslavije</w:t>
      </w:r>
    </w:p>
    <w:p w:rsidR="009738ED" w:rsidRPr="009738ED" w:rsidRDefault="009738ED" w:rsidP="009738ED">
      <w:pPr>
        <w:shd w:val="clear" w:color="auto" w:fill="FFFFFF"/>
        <w:spacing w:after="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Na predlog našeg Ministra Pravde a po saslušanju Predsednika Našeg Ministarskog Saveta propisujemo i proglašujemo: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32"/>
          <w:szCs w:val="32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32"/>
          <w:szCs w:val="32"/>
          <w:lang w:eastAsia="sr-Latn-CS"/>
        </w:rPr>
        <w:t>ZAKON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32"/>
          <w:szCs w:val="32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32"/>
          <w:szCs w:val="32"/>
          <w:lang w:eastAsia="sr-Latn-CS"/>
        </w:rPr>
        <w:t>O SRPSKOJ PRAVOSLAVNOJ CRKVI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Srpska Pravoslavna Crkva je autokefalna sa dostojanstvom Patrijaršije. Ona svoje versko učenje javno ispoveda, svoje bogosluženje javno vrši i samostalno upravlja i uređuje crkveno-verske poslove.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Srpska Pravoslavna Crkva samostalno upravlja i slobodno raspolaže crkvenom imovinom, crkvenim fondovima i zadužbinama (zakladama), u granicama ovoga Zakona i Crkvenog Ustava, a pod vrhovnim nadzorom Države.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Crkvene vlasti samostalno odlučuju o primanju zadužbina, koje su namenjene crkvenim zadacima.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Srpska Pravoslavna Crkva, koja — po postupku o svom računovodstvu, koji će se Uredbom propisati, — samostalno vrši kontrolu svojih prihoda i rashoda, podleži prema odredbi 2. stava čl. 2. Zakona o Glavnoj Kontroli, vrhovnom nadzoru Glavne Kontrole u toliko što je Glavna Kontrola ovlašćena da utrošak prihoda prema ukazanoj potrebi kontroliše pregledima, bilo na zahtev Ministra pravde ili samih crkvenih vlasti.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Imovina Srpske Pravoslavne Crkve služi samo ciljevima Crkve, i ne može se ni pod kojim vidom od nje oduzimati ni na druga ciljeve upotrebljavati, osim slučaja eksproprijacije predviđene Zakonom.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3.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Srpska Pravoslavna Crkva i pojedini njeni sastavni delovi i ustanove, koje će biti predviđene Crkvenim Ustavom, pravna su lica, sposobna da po propisima zakona stiču i drže kako pokretna tako i nepokretna dobra i vrše sva prava, koja im kao takvima pripadaju.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4.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Crkvena vlast duhovna, crkveno-disciplinska i crkveno-sudska, po uređenju Srpske Pravoslavne Crkve, pripada samo Jerarhiji. Tu vlast Jerarhija vrši preko svojih jerarhiskih predstavnika i organa.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Episkopska vlast u zajednici sa sveštenstvom i narodom, preko svojih samoupravnih predstavnika i organa, uređuje i upravlja poslovima imovinskim, zadužbinskim (zakladnim), fondovskim, kao i drugim poslovima, koji će se u Crkvenom Ustavu predvideti.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5.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Crkvena krivična dela i kazne su samo one koje propisuje Crkveni Ustav.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6.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lastRenderedPageBreak/>
        <w:t>Za izvršenje nadležno izdatih, na zakonu osnovanih, naređenja i punovažnih odluka i presuda svih crkvenih vlasti i organa, sve državne i samoupravne vlasti daju na zahtev crkvenih vlasti svoju administrativnu pomoć.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Crkveni sudovi mogu u cilju izvođenja dokaza tražiti pravnu pomoć redovnih sudova.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7.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Srpsku Pravoslavnu Crkvu predstavlja pred Državom Patrijarh ili njegov zamenik, a pojedine Eparhije Eparhiski Arhijereji ili njihovi zamenici.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Postupak za izbor Patrijarha urediće se posebnim zakonom, a za izbor Eparhiskih Arhijereja Crkvenim Ustavom.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Imovinsko-pravne interese Crkve pred državnim vlastima zastupaju oni organi koji su određeni Crkvenim Ustavom.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8.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Izbor Patrijarha i Eparhiskih Arhijereja potvrđuje Kralj Ukazom, na predlog Ministra pravde, stavljen u saglasnosti sa Predsednikom Ministarskog Saveta.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9.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Crkva podmiruje svoje potrebe: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1) prihodima od crkvenih dobara i fondova,</w:t>
      </w: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br/>
        <w:t>2) prihodima od državne naknade iz čl. 22,</w:t>
      </w: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br/>
        <w:t>3) crkvenim taksama iz čl. 12,</w:t>
      </w: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br/>
        <w:t>4) naročitim razrezivanjem na prihode manastirskih i crkvenih imanja,</w:t>
      </w: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br/>
        <w:t>5) državnom pomoću iz čl. 21 i</w:t>
      </w: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br/>
        <w:t>6) crkvenim prirezima na čl. 10 i 11.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10.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Prirez na neposredni porez koji plaćaju pravoslavni porezovnici u državi imaju pravo da raspišu Patrijaršija, Eparhije i Crkvene Opštine, svaka za svoje potrebe, i to samo ako prihodi predviđeni u čl. 9 od 1—5 ne mogu pokriti njihove rashode predviđene budžetom. Odluku o raspisu ovoga prireza za unapred određeno vreme donose organi koji su po crkvenom Ustavu za to nadležni. Ova odluka postaje punovažna kad je odobri Ministar finansija u sporazumu sa Ministrom pravde. To odobrenje nije potrebno za prireze do 10% na neposredni državni porez koje raspisuju crkvene opštine po zaključku crkveno-opštinskog zbora donetom od predstavnika crkvene opštine određenih Crkvenim Ustavom, koji predstavljaju 75% poreske snage u opštini. Za takve odluke potrebno je samo odobrenje crkvene vlasti nadležne po Crkvenom Ustavu.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11.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Crkvene prireze prikupljaju organi državne poreske administracije, jednovremeno u svemu po propisima za državne dažbine, i predaju ih u tromesečnim ratama nadležnim crkvenim vlastima.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12.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Za zvanične radnje crkvenih vlasti, i u jerarhiskom i u samoupravnom delokrugu, plaća se samo ona taksa koju crkvene vlasti propišu posebnim Pravilnikom odobrenim od Ministra pravde u sporazumu sa Ministrom finansija. Ova se taksa naplaćuje u korist Srpske Pravoslavne Crkve.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13.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Službena prepiska i amanetna pošta svih crkvenih vlasti i ustanova oslobođava se plaćanja poštarine i telegrafske takse.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14.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lastRenderedPageBreak/>
        <w:t>Svih javnih dažbina oslobođavaju se zgrade namenjene Službi Božjoj, crkveno-prosvetnim i dobrotvornim ustanovama; zavodi za crkvene potrebe; arhijerejski, manastirski i parohiski domovi; pravoslavni kulturno-istoriski spomenici (manastirišta, crkvišta i t. d.), i dvorišta svih pobrojanih ustanova.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15.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Sveštena lica mirskog i monaškog reda nisu obavezna lično da vrše one javne poslove koji se, prema kanonskim propisima, protive svešteničkom činu i pozivu.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16.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Sve državne vlasti koje po svojoj nadležnosti pokrenu krivični postupak protiv sveštenih lica oba reda ili monaha dužne su odmah o tome da izveste nadležnog Arhijereja, kao i o konačnoj odluci koju budu donele po dotičnom predmetu.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17.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U svim državnim i privatnim školama, pravoslavna verska nastava predaje se u saglasnosti sa nadležnom crkvenom vlašću, a po odredbama Zakona o tim školama.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Nastavne planove i programe za predavanja veronauke propisuje nadležni Ministar uzimajući u obzir potrebu verskog vaspitanja po predlogu Svetog Arhijerejskog Sabora. Za udžbenike veronauke važiće propisi Zakona o udžbenicima. Za sve udžbenike daće Sveti Arhijerejski Sinod svoje odobrenje u pogledu njihove verske sadržine.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U državnim osnovnim školama veronauku mogu predavati kvalifikovani parohiski sveštenici ili naročiti veroučitelji, u smislu propisa Zakona o narodnim školama. Gde, po zakonu ili inače, nije moguće da pravoslavnu veronauku predaje sveštenik ili naročiti veroučitelj, vršiće ovu nastavu učitelji te škole koji su pravoslavne vere.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Veroučitelje sveštena lica u svima narodnim školama postavlja Ministar prosvete iz reda kandidata predloženih od nadležne crkvene vlasti. Veroučitelje u ostalim državnim — srednjim i stručnim — školama postavlja nadležni Ministar između kandidata koji podnesu odobrenje nadležne crkvene vlasti da mogu predavati veronauku u srednjim školama. Sve veroučitelje premešta i razrešava dužnosti Ministar po odredbama školskih zakona.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Veroučitelje u svima privatnim školama postavlja i premešta uprava škole po odobrenju nadležnog Arhijereja. I za ove veroučitelje važe propisi školskih zakona.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Nadležna crkvena vlast može oduzeti već izdato odobrenje onim veroučiteljima koji ne predaju veronauku onako kako propisuje pravoslavna vera ili koji, inače, svojim životom i radom ne odgovaraju svojoj veroučiteljskoj dužnosti.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18.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Sveti Arhijerejski Sinod nastojava i stara se da predavanja na pravoslavnim bogoslovskim fakultetima državnih Universiteta budu u saglasnosti sa naukom pravoslavne vere. U slučajevima osvedočene nesuglasnosti preduzima kod Ministra prosvete potrebne mere, da se one otklone.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Profesori i docenti bogoslovskog fakulteta koji se biraju po Zakonu o Universitetu postavljaju se, pošto se prethodno utvrdi i verska podobnost kandidata ocenom Svetog Arhijerejskog Sinoda.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19.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Sve crkvene autonomne duhovne škole stoje pod upravom i nadzorom crkvene vlasti.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O osnivanju ovih škola rešava Sveti Arhijerejski Sabor. On propisuje za njih nastavni plan i program predavanja, i postavlja i razrešava njihove upravnike. Ministar prosvete daje odobrenje za osnivanje ovih škola i za nastavni plan.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lastRenderedPageBreak/>
        <w:t>Sveti Arhijerejski Sinod stara se za naročitu spremu nastavničkog i vaspitačkog osoblja; postavlja i razrešava ga.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Eparhiski Arhijerej vodi neposredan nadzor nad ovim školama u svojoj Eparhiji, podnosi o tome izveštaj Svetom Arhijerejskom Sinodu i predloge o postavljanju i razrešavanju nastavnika i vaspitača. Vrhovni nadzor i nad svim školama vodi Ministar prosvete.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20.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Sveštenike u državnim bolnicama, kaznenim i njima sličnim zavodima i drugim državnim ustanovama postavlja, na predlog eparhiskog Arhijereja, nadležni ministar.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PRELAZNA I ZAVRŠNA NAREĐENJA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21.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Pri prevođenju crkvenih nadleštava, ustanova i lica sa državnog budžeta na budžet Srpske Pravoslavne Crkve, Uredbom Ministra pravde i Ministra finansija utvrdiće se koju će pomoć iz državnih sredstava Srpska Pravoslavna Crkva stalno po državnom budžetu primati. Pri utvrđivanju ove državne pomoći uzeće se u obzir oni dosadašnji rashodi po Finansijskom zakonu i Državnom budžetu za 1929—30 godinu, koji se odnose na ona crkvena nadleštva, ustanove i lica koja prelaze sa državnog budžeta na budžet Srpske Pravoslavne Crkve, kao i iznosi t.zv. bira u Srbiji i Južnoj Srbiji, zagarantovanog dosadanjim zakonom, i prireza u drugim crkvenim oblastima predviđenih dosadanjim zakonskim uredbama.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22.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Pored državne pomoći pomenute u čl. 21, Srpska Pravoslavna Crkva primiće odsekom, ili će primati godišnje stalno, iznos na ime naknade za potraživanja koja pripadaju Srpskoj Pravoslavnoj Crkvi u Srbiji i Crnoj Gori prema Državi. Ova će se potraživanja utvrditi sporazumno između ministra finansija i ministra pravde s jedne strane i Svetog Arhijerejskog Sabora s druge strane. Iznos naknade utvrdiće se posebnom uredbom koju će doneti ministar finansija i ministar pravde u sporazumu sa Svetim Arhijerejskim Saborom, a u koliko bude godišnje isplaćivan, unosiće se u budžet Ministarstva pravde. Ova uredba može se menjati samo zakonom, po prethodnom pristanku Svetog Arhijerejskog Sabora.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23.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Srpske Pravoslavne Eparhije i njihovi delovi van granica Kraljevine Jugoslavije, kao sastavni delovi Srpske Patrijaršije, ostaju u pogledu organizacije u jerarhiskom i materijalnom odnosu prema Srpskoj Patrijaršiji u kome su bile prema pojedinim Srpskim Mitropolijama, sve dok se ovi odnosi ne bi drukčije regulisali.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24.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Crkveni Ustav o celokupnom uređenju Srpske Pravoslavne Crkve i sviju crkvenih samoupravnih vlasti doneće Sveti Arhijerejski Sabor, i predložiti ministru pravde, koji će ga, pošto ga usvoji, podneti Kralju na ozakonjenje.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25.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Ovlašćuje se ministar pravde da Uredbom propiše sve pobliže odredbe, potrebne za izvršenje ovoga Zakona, vodeći računa o predlozima Svetog Arhijerejskog Sinoda.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26.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Ovim Zakonom i Crkvenim Ustavom predviđena organizacija Srpske Pravoslavne Crkve ima se izvesti najdalje u roku od 2 godine, računajući od dana stupanja na snagu istih Zakona.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lastRenderedPageBreak/>
        <w:t>Po stupanju na snagu ovog Zakona i Crkvenog Ustava prestaju važiti svi zakoni, uredbe i drugi propisi o predmetu tih zakona. No dosadašnji propisi o organizaciji Srpske Pravoslavne Crkve gube važnost tek kada bude sprovedena organizacija, predviđena u prvom stavu ovoga člana.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Član 27.</w:t>
      </w:r>
    </w:p>
    <w:p w:rsidR="009738ED" w:rsidRPr="009738ED" w:rsidRDefault="009738ED" w:rsidP="009738ED">
      <w:pPr>
        <w:shd w:val="clear" w:color="auto" w:fill="FFFFFF"/>
        <w:spacing w:before="96" w:after="120" w:line="288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9738ED">
        <w:rPr>
          <w:rFonts w:eastAsia="Times New Roman" w:cs="Arial"/>
          <w:color w:val="000000"/>
          <w:sz w:val="20"/>
          <w:szCs w:val="20"/>
          <w:lang w:eastAsia="sr-Latn-CS"/>
        </w:rPr>
        <w:t>Ovaj Zakon stupa u život kada ga Kralj potpiše, a obaveznu snagu dobija kada se obnaroduje u „Službenim Novinama“.</w:t>
      </w:r>
    </w:p>
    <w:p w:rsidR="0043785E" w:rsidRPr="009738ED" w:rsidRDefault="0043785E">
      <w:pPr>
        <w:rPr>
          <w:sz w:val="20"/>
          <w:szCs w:val="20"/>
        </w:rPr>
      </w:pPr>
    </w:p>
    <w:sectPr w:rsidR="0043785E" w:rsidRPr="009738ED" w:rsidSect="0043785E">
      <w:headerReference w:type="default" r:id="rId6"/>
      <w:footerReference w:type="default" r:id="rId7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F3C" w:rsidRDefault="00414F3C" w:rsidP="009738ED">
      <w:pPr>
        <w:spacing w:after="0" w:line="240" w:lineRule="auto"/>
      </w:pPr>
      <w:r>
        <w:separator/>
      </w:r>
    </w:p>
  </w:endnote>
  <w:endnote w:type="continuationSeparator" w:id="1">
    <w:p w:rsidR="00414F3C" w:rsidRDefault="00414F3C" w:rsidP="0097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8ED" w:rsidRPr="009E4E80" w:rsidRDefault="009738ED" w:rsidP="009738ED">
    <w:pPr>
      <w:pStyle w:val="Footer"/>
      <w:pBdr>
        <w:top w:val="thinThickSmallGap" w:sz="24" w:space="1" w:color="622423"/>
      </w:pBdr>
      <w:rPr>
        <w:rFonts w:ascii="Cambria" w:hAnsi="Cambria"/>
      </w:rPr>
    </w:pPr>
    <w:r w:rsidRPr="00A836F2">
      <w:rPr>
        <w:sz w:val="16"/>
        <w:szCs w:val="16"/>
      </w:rPr>
      <w:t>Codex Projuris</w:t>
    </w:r>
    <w:r>
      <w:rPr>
        <w:noProof/>
        <w:sz w:val="20"/>
        <w:szCs w:val="20"/>
        <w:lang w:eastAsia="sr-Latn-CS"/>
      </w:rPr>
      <w:drawing>
        <wp:inline distT="0" distB="0" distL="0" distR="0">
          <wp:extent cx="238760" cy="246380"/>
          <wp:effectExtent l="1905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2" w:history="1">
      <w:r w:rsidRPr="00C73477">
        <w:rPr>
          <w:rStyle w:val="Hyperlink"/>
          <w:noProof/>
          <w:sz w:val="16"/>
          <w:szCs w:val="16"/>
          <w:lang w:eastAsia="sr-Latn-CS"/>
        </w:rPr>
        <w:t>www.projuris.org</w:t>
      </w:r>
    </w:hyperlink>
    <w:r>
      <w:t xml:space="preserve"> </w:t>
    </w:r>
    <w:r>
      <w:tab/>
    </w:r>
    <w:r>
      <w:tab/>
    </w:r>
    <w:fldSimple w:instr=" PAGE   \* MERGEFORMAT ">
      <w:r>
        <w:rPr>
          <w:noProof/>
        </w:rPr>
        <w:t>5</w:t>
      </w:r>
    </w:fldSimple>
  </w:p>
  <w:p w:rsidR="009738ED" w:rsidRDefault="009738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F3C" w:rsidRDefault="00414F3C" w:rsidP="009738ED">
      <w:pPr>
        <w:spacing w:after="0" w:line="240" w:lineRule="auto"/>
      </w:pPr>
      <w:r>
        <w:separator/>
      </w:r>
    </w:p>
  </w:footnote>
  <w:footnote w:type="continuationSeparator" w:id="1">
    <w:p w:rsidR="00414F3C" w:rsidRDefault="00414F3C" w:rsidP="0097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8ED" w:rsidRPr="009738ED" w:rsidRDefault="009738ED" w:rsidP="009738ED">
    <w:pPr>
      <w:pStyle w:val="Header"/>
      <w:pBdr>
        <w:bottom w:val="thickThinSmallGap" w:sz="24" w:space="1" w:color="622423"/>
      </w:pBdr>
      <w:tabs>
        <w:tab w:val="center" w:pos="4680"/>
      </w:tabs>
      <w:rPr>
        <w:rFonts w:ascii="Cambria" w:eastAsia="Times New Roman" w:hAnsi="Cambria"/>
        <w:sz w:val="18"/>
        <w:szCs w:val="18"/>
      </w:rPr>
    </w:pPr>
    <w:r>
      <w:rPr>
        <w:rFonts w:eastAsia="Times New Roman" w:cs="Arial"/>
        <w:sz w:val="20"/>
        <w:szCs w:val="20"/>
      </w:rPr>
      <w:tab/>
    </w:r>
    <w:r w:rsidRPr="009738ED">
      <w:rPr>
        <w:rFonts w:eastAsia="Times New Roman" w:cs="Arial"/>
        <w:sz w:val="18"/>
        <w:szCs w:val="18"/>
      </w:rPr>
      <w:t>ZAKON O SRPSKOJ PRAVOSLAVNOJ CRKVI (1929)</w:t>
    </w:r>
  </w:p>
  <w:p w:rsidR="009738ED" w:rsidRDefault="009738E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38ED"/>
    <w:rsid w:val="00414F3C"/>
    <w:rsid w:val="0043785E"/>
    <w:rsid w:val="007B4FA4"/>
    <w:rsid w:val="009738ED"/>
    <w:rsid w:val="00BE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3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styleId="Header">
    <w:name w:val="header"/>
    <w:basedOn w:val="Normal"/>
    <w:link w:val="HeaderChar"/>
    <w:uiPriority w:val="99"/>
    <w:unhideWhenUsed/>
    <w:rsid w:val="009738ED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8ED"/>
  </w:style>
  <w:style w:type="paragraph" w:styleId="Footer">
    <w:name w:val="footer"/>
    <w:basedOn w:val="Normal"/>
    <w:link w:val="FooterChar"/>
    <w:uiPriority w:val="99"/>
    <w:unhideWhenUsed/>
    <w:rsid w:val="009738ED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8ED"/>
  </w:style>
  <w:style w:type="character" w:styleId="Hyperlink">
    <w:name w:val="Hyperlink"/>
    <w:basedOn w:val="DefaultParagraphFont"/>
    <w:uiPriority w:val="99"/>
    <w:semiHidden/>
    <w:unhideWhenUsed/>
    <w:rsid w:val="009738ED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8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juris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1662</Words>
  <Characters>9474</Characters>
  <Application>Microsoft Office Word</Application>
  <DocSecurity>0</DocSecurity>
  <Lines>78</Lines>
  <Paragraphs>22</Paragraphs>
  <ScaleCrop>false</ScaleCrop>
  <Company>comp.</Company>
  <LinksUpToDate>false</LinksUpToDate>
  <CharactersWithSpaces>11114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Projuris</dc:creator>
  <cp:keywords/>
  <dc:description/>
  <cp:lastModifiedBy>Projuris</cp:lastModifiedBy>
  <cp:revision>1</cp:revision>
  <dcterms:created xsi:type="dcterms:W3CDTF">2013-09-12T13:08:00Z</dcterms:created>
  <dcterms:modified xsi:type="dcterms:W3CDTF">2013-09-12T13:13:00Z</dcterms:modified>
</cp:coreProperties>
</file>