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Cs/>
          <w:color w:val="000000"/>
          <w:sz w:val="20"/>
          <w:szCs w:val="20"/>
          <w:lang w:eastAsia="sr-Latn-CS"/>
        </w:rPr>
        <w:t>МИ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Cs/>
          <w:color w:val="000000"/>
          <w:sz w:val="20"/>
          <w:szCs w:val="20"/>
          <w:lang w:eastAsia="sr-Latn-CS"/>
        </w:rPr>
        <w:t>АЛЕКСАНДАР I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Cs/>
          <w:color w:val="000000"/>
          <w:sz w:val="20"/>
          <w:szCs w:val="20"/>
          <w:lang w:eastAsia="sr-Latn-CS"/>
        </w:rPr>
        <w:t>по милости Божјој и вољи Народној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Cs/>
          <w:color w:val="000000"/>
          <w:sz w:val="20"/>
          <w:szCs w:val="20"/>
          <w:lang w:eastAsia="sr-Latn-CS"/>
        </w:rPr>
        <w:t>Краљ Југославије</w:t>
      </w:r>
    </w:p>
    <w:p w:rsidR="007F7DD0" w:rsidRPr="007F7DD0" w:rsidRDefault="007F7DD0" w:rsidP="007F7DD0">
      <w:pPr>
        <w:shd w:val="clear" w:color="auto" w:fill="FFFFFF"/>
        <w:spacing w:after="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На предлог нашег Министра Правде а по саслушању Председника Нашег Министарског Савета прописујемо и проглашујемо: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32"/>
          <w:szCs w:val="32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32"/>
          <w:szCs w:val="32"/>
          <w:lang w:eastAsia="sr-Latn-CS"/>
        </w:rPr>
        <w:t>ЗАКОН</w:t>
      </w:r>
    </w:p>
    <w:p w:rsid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32"/>
          <w:szCs w:val="32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32"/>
          <w:szCs w:val="32"/>
          <w:lang w:eastAsia="sr-Latn-CS"/>
        </w:rPr>
        <w:t>О ИСЛАМСКОЈ ВЕРСКОЈ ЗАЈЕДНИЦИ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32"/>
          <w:szCs w:val="32"/>
          <w:lang w:eastAsia="sr-Latn-CS"/>
        </w:rPr>
      </w:pP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both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Сви муслимани у Краљевини Југославији сачињавају једну самосталну Исламску верску заједницу, под Реис-ул-улемом као врховним верским старешином.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both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Исламска верска заједница јавно исповеда и учи своју исламску веру, јавно врши своје исламске верске дужности, и самостално управља и уређује своје верске, верско-просветне и вакуфске послове.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Органи Исламске верске заједнице јесу: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1) Џематски меџлис, на челу са џематским имамом;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2) Среско вакуфско-моарифско поверенство, на челу са шеријатским судијом;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3) Муфтиство;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4) Улема-меџлис у Сарајеву и Улема-меџлис у Скопљу;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5) Вакуфско-меарифско веће у Сарајеву и Вакуфско-моарифско веће у Скопљу;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6) Врховно верско старешинство у Београду са Реис-ул-улемом на челу.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Састав органа поменутих у претходном саставу, као и њихов делокруг и надлежност, предвидеће се Уставом Исламске верске заједнице.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3.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both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Поступак за избор Реис-ул-Улема, чланова Улема-меџлиса и муфтија прописаће се посебним законом, у колико није предвиђен одредбом $ 21.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4.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both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Реис-ул-улему, чланове Улема—меџлиса и муфтије поставља Краљ указом, на предлог Министра правде, стављен у сагласности са Претседником Министарског савета. Реис-ул-улема добија овлаштење (меншуру) за вршење верских послова од нарочито сазваног Савета, који се састаје у Београду, а сачињавају га: Сви чланови оба Улема-меџлиса, по три изабрана члана оба Вакуфско-меарифска већа и сви чланови оба Врховна шеријатска суда.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5.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both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Исламска верска заједница самостално управља и слободно располаже верском имовином, вакуфима (задужбинама), у границама овога Закона и свога Устава, а под врховним надзором Државе.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both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Надлежне исламске верске власти самостално одлучују о примању вакуфа (задужбина) који су намењени верским циљевима.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both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Исламска верска заједница, која по поступку о свом рачуноводству, који ће се уредбом прописати преко својих надлежних власти врши контролу својих прихода и расхода, подлежи према одредби другог става чл. 2 Закона о Главној контроли, врховном надзору Главне контроле, у толико што је Главна контрола овлашћена да утрошак прихода, према указаној потреби, контролише прегледима, било на захтев Министра правде или самих надлежних власти Исламске верске заједнице.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lastRenderedPageBreak/>
        <w:t>Имовина Исламске верске заједнице служи само њеним верским циљевима, и не може се ни под којим видом од ње одузимати ни на друге циљеве употребљавати, осим случаја експропријације предвиђене законом.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6.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Исламска верска заједница и поједине установе предвиђене њеним Уставом правна су лица, способна да по прописима закона стичу и држе како покретна тако и непокретна добра и врше сва права која им као таквима припадају.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7.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8.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9.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10.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11.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12.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Исламска верска заједница подмирује своје потребе: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1) приходима свих верских и вакуфско-миарифских добара и фондова;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2) верским таксама;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3) нарочитим разрезивањем на приходе појединих самосталних вакуфа;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4) добровољним прилозима и васијетима;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5) евентуалном помоћу политичко-управних општина;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6) сталном државном помоћи из $ 23;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7) верским прирезима из $ 14.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13.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За све званичне радње верских и вакуфско-меарифских органа плаћа се само она такса коју пропише вакуфско-меарифско веће, посебним правилником одобреним од Министра правде у споразуму с Министром финансија. Ова такса наплаћује се у корист Исламске верске заједнице.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14.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Прирез на непосредни порез који плаћају порезовници исламске вере у Држави имају право да распишу Вакуфско-меарифско веће, Среско вакуфско-меарифско поверенство и Џематски меџлис, и то само ако приходи у $ 12 од 1—6, не могу покрити расходе предвиђене буџетом. Одлука о распису ових приреза за унапред одређено време постаје пуноважна кад је одобри Министар финансија у споразуму са Министром правде. То одобрење није потребно за прирезе до 10% на непосредни државни порез које расписују џематски меџлиси по закључку џематског збора донетом од 75% пореске снаге у џемату. За њихове одлуке потребно је само одобрење надлежног Вакуфско-меарифског већа.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15.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Верске прирезе прикупљају органи државне пореске администрације, једновремено и у свему по прописима за државне дажбине, и предају их у тромесечним обрасцима надлежном верском органу, који је тај прирез прописао.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16.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Свих јавних дажбина ослобођавају се зграде намењене служби божјој и верско-просветним и добротворним установама; даље, заводи за верске потребе; исламска гробља; домови активних верских службеника који су својина Исламске верске заједнице, а намењени су за њихово становање; домови исламских верских надлештава, културно-историјски споменици; и дворишта свих набројаних установа.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17.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У свим државним и приватним школама исламска верска наука предаје се у сагласности са надлежном исламском верском власти, а по одредбама закона о тим школама.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lastRenderedPageBreak/>
        <w:t>Ученици исламске вере не могу ни сарађивати ни присуствовати ни којој свечаности, било у школи било ван школе, која носи обележје свечаности искључиво друге вере.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Наставне планове и програме за предавања веронауке прописује надлежни министар, узимајући у обзир потребе верског васпитања, по предлогу Улема-меџлиса. За уџбенике веронауке важиће прописи Закона о уџбеницима. За све уџбенике даће Улема меџлис своје одобрење у погледу њихове верске садржине.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У државним основним школама веронауку могу предавати квалификовани имами или нарочити вероучитељи, у смислу прописа Закона о народним школама. Где, по закону или иначе, није могућно да исламску веронауку предаје имам или вероучитељ вршиће сву наставу учитељ те школе који је исламске вере.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Вероучитеље имаме у свима народним школама поставља Министар просвете из реда кандидата предложених од надлежне верске власти. Вероучитеље у осталим државним средњим и стручним школама поставља надлежни министар између кандидата који поднесу одобрење надлежне верске власти да могу предавати исламску веронауку у средњим школама. Све вероучитеље премешта и разрешава дужности надлежни министар, по одредбама школских закона.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18.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Све исламске верске аутономне школе стоје под управом и надзором надлежне верске власти. О оснивању ових школа решава надлежна исламска верска власт. Она прописује за њих наставни план и програм предавања, и поставља и разрешава њихове управнике. Министарство просвете даје одобрење за оснивање ових школа и за наставни план.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Надлежна исламска верска власт стара се за нарочиту спрему наставничког и васпитачког особља исламских верских аутономних школа, поставља и разрешава га. Надлежни верски органи воде непосредни надзор над овим школама и подносе о томе извештаје и предлоге о постављању и разрешавању наставника и васпитача Улема меџлису. Врховни надзор и над овим школама води Министар просвете.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19.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Имаме у државним болницама, казненим и њима сличним заводима и другим државним установама поставља, на предлог Улема меџлиса, надлежни министар.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20.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У случају ако се оснује државни шеријатско-правни односно исламски верски факултет или друга каква државна висока школа у рангу факултета, Врховно верско старешинство настојаваће и старати се да предавања на том факултету односно високој верској школи буду у сагласности са науком исламске вере. У случајевима осведочене несагласности, предузима код Министра просвете потребне мере да се оне отклоне.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Професори и доценти поменутог у претходном ставу факултета, који се бирају по Закону о универзитетима постављаће се, пошто се, претходно утврди и верска подобност кандидата оценом Улема меџлиса.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ПРЕЛАЗНА И ЗАВРШНА НАРЕЂЕЊА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21.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На дан кад овај Закон ступи на снагу стављају се на расположење Реис-ул-улема за Босну и Херцеговину, Врховни муфтија за Србију и Црну Гору, сви чланови Улема меџлиса и Врховног муфтиства као и све муфтије поменутих подручја.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Указом Краљевим, на предлог Министра правде стављен у сагласности са Председником Министарског савета поставиће се први Реис-ул-улема у Београду, четири члана Улема меџлиса са седиштем у Сарајеву и четири члана Улема меџлиса са седиштем у Скопљу, као и девет муфтија, којима ће Министар правде одредити службено место. Седишта и територијалну надлежност муфтистава одредиће Устав Исламске верске заједнице.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У колико се места поменута у претходном ставу не попуне из реда досадашњих службеника који се овим законом стављају на расположење биће сви службеници, у року од три месеца од дана ступања овог закона на снагу, стављени у пензију, односно отпуштени из службе, по постојећим законским прописима.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lastRenderedPageBreak/>
        <w:t>Члан 22.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Устав Исламске верске заједнице донеће на заједничкој седници, под претседништвом Реис-ул-улеме сви чланови оба Улема меџлиса, све муфтије и сви чланови оба Врховна шеријатска суда. Министар правде ће правилником прописати начин рада ове седнице.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Устав Исламске верске заједнице предложиће се Министру правде, који ће га, пошто га усвоји поднети Краљу на озакоњење.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23.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При превођењу исламских верских надлештава, установа и лица са државног буџета на буџет Исламске верске заједнице, Уредбом Министра правде и Министра финансија утврдиће се коју ће помоћ из државних средстава Исламска верска заједница стално по државном буџету примати. При утврђивању ове државне помоћи узеће се у обзир они досадашњи расходи по Финансијском закону и државном буџету за 1929/30 годину који се односе на она исламска верска надлештва, установе и лица која прелазе с државног буџета на буџет Исламске верске заједнице, и износи т. зв. бира у Србији загарантованог досадашњим законом, као и суме потребне за покриће свих личних и материјалних расхода Врховног верског старешинства у Београду и Улема меџлиса у Скопљу.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24.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Исламски верски прирез који је по досадашњим законским прописима наплаћиван у Босни и Херцеговини наплаћиваће се и даље, све док се не пропише нови прирез у смислу одредбе $ 14 овог Закона, и трошиће се за исте потребе за које се је употребљавао и до сада.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25.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Овлашћује се Министар правде да уредбом пропише све поближе одредбе потребне за извршење овог Закона, водећи рачуна о предлозима Врховног верског старешинства.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26.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Овим Законом и Уставом Исламске верске заједнице предвиђена организација има се извести најдаље у року од једне године, рачунајући од дана ступања на снагу Устава Исламске верске заједнице.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По ступању на снагу овога Закона престаје важити закон о „Штатуту за аутономну управу исламских верских и вакуфско-меарифских послова у Босни и Херцеговини“ од 15. априла 1909 године, као и сви други закони, Уредбе и прописи о предмету овог Закона.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Све послове које су вршиле досадашње вакуфско-меарифске и остале верске власти осим власти поменутих у $ 21 став други вршиће, до доношења Устава Исламске верске заједнице и до организације нових власти, нарочита поверенства која ће Министар правде поставити. За власти поменуте у $ 21 став други као и за поверенства прописаће до доношења Устава Исламске верске заједнице Министар правде уредбом надлежност и круг рада.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jc w:val="center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Члан 27.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Овај Закон ступа у живот и добија обавезну снагу када се обнародује у „Службеним новинама“.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t>Претседник Министарског Савета,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Министар Унутрашњих послова,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Почасни ађутант Њ. В. Краља,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Дивизијски генерал,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</w: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Петар Живковић.</w:t>
      </w:r>
    </w:p>
    <w:p w:rsidR="007F7DD0" w:rsidRPr="007F7DD0" w:rsidRDefault="007F7DD0" w:rsidP="007F7DD0">
      <w:pPr>
        <w:shd w:val="clear" w:color="auto" w:fill="FFFFFF"/>
        <w:spacing w:before="96" w:after="120" w:line="240" w:lineRule="atLeast"/>
        <w:rPr>
          <w:rFonts w:eastAsia="Times New Roman" w:cs="Arial"/>
          <w:color w:val="000000"/>
          <w:sz w:val="20"/>
          <w:szCs w:val="20"/>
          <w:lang w:eastAsia="sr-Latn-CS"/>
        </w:rPr>
      </w:pP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Видео и ставио Државни печат,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Чувар Државног Печата,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  <w:t>Министар правде,</w:t>
      </w:r>
      <w:r w:rsidRPr="007F7DD0">
        <w:rPr>
          <w:rFonts w:eastAsia="Times New Roman" w:cs="Arial"/>
          <w:color w:val="000000"/>
          <w:sz w:val="20"/>
          <w:szCs w:val="20"/>
          <w:lang w:eastAsia="sr-Latn-CS"/>
        </w:rPr>
        <w:br/>
      </w:r>
      <w:r w:rsidRPr="007F7DD0">
        <w:rPr>
          <w:rFonts w:eastAsia="Times New Roman" w:cs="Arial"/>
          <w:b/>
          <w:bCs/>
          <w:color w:val="000000"/>
          <w:sz w:val="20"/>
          <w:szCs w:val="20"/>
          <w:lang w:eastAsia="sr-Latn-CS"/>
        </w:rPr>
        <w:t>Др. М. Сршкић.</w:t>
      </w:r>
    </w:p>
    <w:p w:rsidR="0043785E" w:rsidRPr="007F7DD0" w:rsidRDefault="0043785E">
      <w:pPr>
        <w:rPr>
          <w:sz w:val="20"/>
          <w:szCs w:val="20"/>
        </w:rPr>
      </w:pPr>
    </w:p>
    <w:sectPr w:rsidR="0043785E" w:rsidRPr="007F7DD0" w:rsidSect="0043785E">
      <w:headerReference w:type="default" r:id="rId6"/>
      <w:footerReference w:type="default" r:id="rId7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893" w:rsidRDefault="00C06893" w:rsidP="007F7DD0">
      <w:pPr>
        <w:spacing w:after="0" w:line="240" w:lineRule="auto"/>
      </w:pPr>
      <w:r>
        <w:separator/>
      </w:r>
    </w:p>
  </w:endnote>
  <w:endnote w:type="continuationSeparator" w:id="1">
    <w:p w:rsidR="00C06893" w:rsidRDefault="00C06893" w:rsidP="007F7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D0" w:rsidRPr="009E4E80" w:rsidRDefault="007F7DD0" w:rsidP="007F7DD0">
    <w:pPr>
      <w:pStyle w:val="Footer"/>
      <w:pBdr>
        <w:top w:val="thinThickSmallGap" w:sz="24" w:space="1" w:color="622423"/>
      </w:pBdr>
      <w:rPr>
        <w:rFonts w:ascii="Cambria" w:hAnsi="Cambria"/>
      </w:rPr>
    </w:pPr>
    <w:r w:rsidRPr="00A836F2">
      <w:rPr>
        <w:sz w:val="16"/>
        <w:szCs w:val="16"/>
      </w:rPr>
      <w:t>Codex Projuris</w:t>
    </w:r>
    <w:r>
      <w:rPr>
        <w:noProof/>
        <w:sz w:val="20"/>
        <w:szCs w:val="20"/>
        <w:lang w:eastAsia="sr-Latn-CS"/>
      </w:rPr>
      <w:drawing>
        <wp:inline distT="0" distB="0" distL="0" distR="0">
          <wp:extent cx="238760" cy="246380"/>
          <wp:effectExtent l="1905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2" w:history="1">
      <w:r w:rsidRPr="00C73477">
        <w:rPr>
          <w:rStyle w:val="Hyperlink"/>
          <w:noProof/>
          <w:sz w:val="16"/>
          <w:szCs w:val="16"/>
          <w:lang w:eastAsia="sr-Latn-CS"/>
        </w:rPr>
        <w:t>www.projuris.org</w:t>
      </w:r>
    </w:hyperlink>
    <w:r>
      <w:t xml:space="preserve"> </w:t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7F7DD0" w:rsidRPr="007F7DD0" w:rsidRDefault="007F7DD0" w:rsidP="007F7D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893" w:rsidRDefault="00C06893" w:rsidP="007F7DD0">
      <w:pPr>
        <w:spacing w:after="0" w:line="240" w:lineRule="auto"/>
      </w:pPr>
      <w:r>
        <w:separator/>
      </w:r>
    </w:p>
  </w:footnote>
  <w:footnote w:type="continuationSeparator" w:id="1">
    <w:p w:rsidR="00C06893" w:rsidRDefault="00C06893" w:rsidP="007F7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DD0" w:rsidRDefault="007F7DD0" w:rsidP="007F7DD0">
    <w:pPr>
      <w:pStyle w:val="Header"/>
      <w:pBdr>
        <w:bottom w:val="thickThinSmallGap" w:sz="24" w:space="1" w:color="622423"/>
      </w:pBdr>
      <w:tabs>
        <w:tab w:val="center" w:pos="4680"/>
      </w:tabs>
      <w:rPr>
        <w:rFonts w:ascii="Cambria" w:eastAsia="Times New Roman" w:hAnsi="Cambria"/>
        <w:sz w:val="32"/>
        <w:szCs w:val="32"/>
      </w:rPr>
    </w:pPr>
    <w:r>
      <w:rPr>
        <w:rFonts w:eastAsia="Times New Roman" w:cs="Arial"/>
        <w:sz w:val="20"/>
        <w:szCs w:val="20"/>
      </w:rPr>
      <w:tab/>
      <w:t>ZAKON O ISLAMSKOJ VERSKOJ ZAJEDNICI (1930)</w:t>
    </w:r>
  </w:p>
  <w:p w:rsidR="007F7DD0" w:rsidRDefault="007F7DD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7DD0"/>
    <w:rsid w:val="0043785E"/>
    <w:rsid w:val="007B4FA4"/>
    <w:rsid w:val="007F7DD0"/>
    <w:rsid w:val="00BE6E79"/>
    <w:rsid w:val="00C06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paragraph" w:styleId="Header">
    <w:name w:val="header"/>
    <w:basedOn w:val="Normal"/>
    <w:link w:val="HeaderChar"/>
    <w:uiPriority w:val="99"/>
    <w:unhideWhenUsed/>
    <w:rsid w:val="007F7DD0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DD0"/>
  </w:style>
  <w:style w:type="paragraph" w:styleId="Footer">
    <w:name w:val="footer"/>
    <w:basedOn w:val="Normal"/>
    <w:link w:val="FooterChar"/>
    <w:uiPriority w:val="99"/>
    <w:unhideWhenUsed/>
    <w:rsid w:val="007F7DD0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DD0"/>
  </w:style>
  <w:style w:type="character" w:styleId="Hyperlink">
    <w:name w:val="Hyperlink"/>
    <w:basedOn w:val="DefaultParagraphFont"/>
    <w:uiPriority w:val="99"/>
    <w:semiHidden/>
    <w:unhideWhenUsed/>
    <w:rsid w:val="007F7DD0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juris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1686</Words>
  <Characters>9616</Characters>
  <Application>Microsoft Office Word</Application>
  <DocSecurity>0</DocSecurity>
  <Lines>80</Lines>
  <Paragraphs>22</Paragraphs>
  <ScaleCrop>false</ScaleCrop>
  <Company>comp.</Company>
  <LinksUpToDate>false</LinksUpToDate>
  <CharactersWithSpaces>11280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Projuris</dc:creator>
  <cp:keywords/>
  <dc:description/>
  <cp:lastModifiedBy>Projuris</cp:lastModifiedBy>
  <cp:revision>1</cp:revision>
  <dcterms:created xsi:type="dcterms:W3CDTF">2013-09-12T12:11:00Z</dcterms:created>
  <dcterms:modified xsi:type="dcterms:W3CDTF">2013-09-12T12:13:00Z</dcterms:modified>
</cp:coreProperties>
</file>